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(наименование организации)</w:t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дата</w:t>
        <w:tab/>
        <w:tab/>
        <w:tab/>
        <w:tab/>
        <w:tab/>
        <w:tab/>
        <w:tab/>
        <w:tab/>
        <w:tab/>
        <w:tab/>
        <w:tab/>
        <w:t xml:space="preserve">№_____</w:t>
      </w:r>
    </w:p>
    <w:p w:rsidR="00000000" w:rsidDel="00000000" w:rsidP="00000000" w:rsidRDefault="00000000" w:rsidRPr="00000000" w14:paraId="00000005">
      <w:pPr>
        <w:spacing w:after="280" w:before="28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проведении внепланов</w:t>
      </w:r>
      <w:r w:rsidDel="00000000" w:rsidR="00000000" w:rsidRPr="00000000">
        <w:rPr>
          <w:b w:val="1"/>
          <w:sz w:val="24"/>
          <w:szCs w:val="24"/>
          <w:rtl w:val="0"/>
        </w:rPr>
        <w:t xml:space="preserve">ого обучения и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проверки знаний требований охраны труда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В соответствии с требований статьи 214, 219 ТК РФ и Правил обучения по охране труда и проверки знания требований охраны труда, утвержденных постановлением Правительства РФ от 24.12.2021 № 2464 «О порядке обучения по охране труда и проверки знания требований охраны труда»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в связи с изменениями в законодательстве в области охраны труда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(или укажите другую причину)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ПРИКАЗЫВАЮ: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00" w:before="28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Утвердить перечень профессий и должностей работников, которым необходимо пройти </w:t>
      </w:r>
      <w:r w:rsidDel="00000000" w:rsidR="00000000" w:rsidRPr="00000000">
        <w:rPr>
          <w:sz w:val="24"/>
          <w:szCs w:val="24"/>
          <w:rtl w:val="0"/>
        </w:rPr>
        <w:t xml:space="preserve">внеплановое обучение и проверку знаний требований охраны труда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(приложение 1 к настоящему приказу).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80" w:before="20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Ответственным за проведение обучения по охране труда провести внеплановое обучение для сотрудников указанных в приложении 1 к настоящему приказу в в течение 60 календарных дней.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80" w:before="2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Комиссии по проверке знания требований охраны труда провести внеплановую проверку знаний требований охраны труда работников в срок, не позднее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(дата) </w:t>
      </w:r>
      <w:r w:rsidDel="00000000" w:rsidR="00000000" w:rsidRPr="00000000">
        <w:rPr>
          <w:sz w:val="24"/>
          <w:szCs w:val="24"/>
          <w:rtl w:val="0"/>
        </w:rPr>
        <w:t xml:space="preserve">года.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80" w:before="2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случае неудовлетворительных результатов проверки знания требований охраны труда работники, не прошедшие проверку знаний, </w:t>
      </w:r>
      <w:r w:rsidDel="00000000" w:rsidR="00000000" w:rsidRPr="00000000">
        <w:rPr>
          <w:sz w:val="24"/>
          <w:szCs w:val="24"/>
          <w:rtl w:val="0"/>
        </w:rPr>
        <w:t xml:space="preserve">направляются на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повторную проверку знаний в течение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0 календарных дней. На время прохождения повторной проверки знаний работник</w:t>
      </w:r>
      <w:r w:rsidDel="00000000" w:rsidR="00000000" w:rsidRPr="00000000">
        <w:rPr>
          <w:sz w:val="24"/>
          <w:szCs w:val="24"/>
          <w:rtl w:val="0"/>
        </w:rPr>
        <w:t xml:space="preserve">ов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не прошедшие проверку знаний, отстран</w:t>
      </w:r>
      <w:r w:rsidDel="00000000" w:rsidR="00000000" w:rsidRPr="00000000">
        <w:rPr>
          <w:sz w:val="24"/>
          <w:szCs w:val="24"/>
          <w:rtl w:val="0"/>
        </w:rPr>
        <w:t xml:space="preserve">ить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от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80" w:before="2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(ФИО и должность сотрудника) ознакомить с приказом ответственных лиц под подпись.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80" w:before="2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Контроль за выполнением настоящего приказа оставляю за собой.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Генеральный директор</w:t>
        <w:tab/>
        <w:tab/>
        <w:t xml:space="preserve">  </w:t>
      </w:r>
      <w:r w:rsidDel="00000000" w:rsidR="00000000" w:rsidRPr="00000000">
        <w:rPr>
          <w:sz w:val="24"/>
          <w:szCs w:val="24"/>
          <w:rtl w:val="0"/>
        </w:rPr>
        <w:t xml:space="preserve">____________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  <w:tab/>
        <w:t xml:space="preserve">____</w:t>
      </w:r>
      <w:r w:rsidDel="00000000" w:rsidR="00000000" w:rsidRPr="00000000">
        <w:rPr>
          <w:sz w:val="24"/>
          <w:szCs w:val="24"/>
          <w:rtl w:val="0"/>
        </w:rPr>
        <w:t xml:space="preserve">____________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приказом ознакомлены:</w:t>
      </w:r>
    </w:p>
    <w:p w:rsidR="00000000" w:rsidDel="00000000" w:rsidP="00000000" w:rsidRDefault="00000000" w:rsidRPr="00000000" w14:paraId="00000013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(ФИО)</w:t>
        <w:tab/>
        <w:tab/>
        <w:tab/>
        <w:tab/>
        <w:t xml:space="preserve">          (подпись)</w:t>
        <w:tab/>
        <w:tab/>
        <w:t xml:space="preserve">  </w:t>
        <w:tab/>
        <w:t xml:space="preserve">          (дата)</w:t>
      </w:r>
    </w:p>
    <w:p w:rsidR="00000000" w:rsidDel="00000000" w:rsidP="00000000" w:rsidRDefault="00000000" w:rsidRPr="00000000" w14:paraId="00000016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(ФИО)</w:t>
        <w:tab/>
        <w:tab/>
        <w:tab/>
        <w:tab/>
        <w:t xml:space="preserve">          (подпись)</w:t>
        <w:tab/>
        <w:tab/>
        <w:t xml:space="preserve">  </w:t>
        <w:tab/>
        <w:t xml:space="preserve">          (дата)</w:t>
      </w:r>
    </w:p>
    <w:p w:rsidR="00000000" w:rsidDel="00000000" w:rsidP="00000000" w:rsidRDefault="00000000" w:rsidRPr="00000000" w14:paraId="00000018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(ФИО)</w:t>
        <w:tab/>
        <w:tab/>
        <w:tab/>
        <w:tab/>
        <w:t xml:space="preserve">          (подпись)</w:t>
        <w:tab/>
        <w:tab/>
        <w:t xml:space="preserve">  </w:t>
        <w:tab/>
        <w:t xml:space="preserve">          (дата)</w:t>
      </w:r>
    </w:p>
    <w:p w:rsidR="00000000" w:rsidDel="00000000" w:rsidP="00000000" w:rsidRDefault="00000000" w:rsidRPr="00000000" w14:paraId="0000001A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(ФИО)</w:t>
        <w:tab/>
        <w:tab/>
        <w:tab/>
        <w:tab/>
        <w:t xml:space="preserve">          (подпись)</w:t>
        <w:tab/>
        <w:tab/>
        <w:t xml:space="preserve">  </w:t>
        <w:tab/>
        <w:t xml:space="preserve">          (дата)</w:t>
      </w:r>
    </w:p>
    <w:p w:rsidR="00000000" w:rsidDel="00000000" w:rsidP="00000000" w:rsidRDefault="00000000" w:rsidRPr="00000000" w14:paraId="0000001C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80" w:line="240" w:lineRule="auto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8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Приложение 1 к приказу № от</w:t>
      </w:r>
    </w:p>
    <w:p w:rsidR="00000000" w:rsidDel="00000000" w:rsidP="00000000" w:rsidRDefault="00000000" w:rsidRPr="00000000" w14:paraId="0000001F">
      <w:pPr>
        <w:spacing w:before="28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Перечень профессий и должностей работников, которым необходимо пройти внеплановое обучение и проверку знаний требований охраны труда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(наименование должности или профессии)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134" w:hanging="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8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0" w:hanging="430"/>
      </w:pPr>
      <w:rPr/>
    </w:lvl>
    <w:lvl w:ilvl="2">
      <w:start w:val="1"/>
      <w:numFmt w:val="decimal"/>
      <w:lvlText w:val="%1.%2.%3."/>
      <w:lvlJc w:val="left"/>
      <w:pPr>
        <w:ind w:left="1225" w:hanging="505"/>
      </w:pPr>
      <w:rPr/>
    </w:lvl>
    <w:lvl w:ilvl="3">
      <w:start w:val="1"/>
      <w:numFmt w:val="decimal"/>
      <w:lvlText w:val="%1.%2.%3.%4."/>
      <w:lvlJc w:val="left"/>
      <w:pPr>
        <w:ind w:left="1730" w:hanging="650"/>
      </w:pPr>
      <w:rPr/>
    </w:lvl>
    <w:lvl w:ilvl="4">
      <w:start w:val="1"/>
      <w:numFmt w:val="decimal"/>
      <w:lvlText w:val="%1.%2.%3.%4.%5."/>
      <w:lvlJc w:val="left"/>
      <w:pPr>
        <w:ind w:left="2230" w:hanging="790"/>
      </w:pPr>
      <w:rPr/>
    </w:lvl>
    <w:lvl w:ilvl="5">
      <w:start w:val="1"/>
      <w:numFmt w:val="decimal"/>
      <w:lvlText w:val="%1.%2.%3.%4.%5.%6."/>
      <w:lvlJc w:val="left"/>
      <w:pPr>
        <w:ind w:left="2735" w:hanging="93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5" w:hanging="122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7E17"/>
  </w:style>
  <w:style w:type="paragraph" w:styleId="Heading1">
    <w:name w:val="heading 1"/>
    <w:basedOn w:val="Normal"/>
    <w:next w:val="Normal"/>
    <w:link w:val="Heading1Char"/>
    <w:uiPriority w:val="9"/>
    <w:qFormat w:val="1"/>
    <w:rsid w:val="00B73A5A"/>
    <w:pPr>
      <w:keepNext w:val="1"/>
      <w:keepLines w:val="1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73A5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xss+Z+wpxpH4xwnERov4ai5vTg==">AMUW2mUTVBtiLL7IlTJjCkIPXsG/Ynxnof7FsoW1AGRkDb2T3YLxYVbzqKBqSUSBuMGFpXQpvclhRpKfLqchZVHum4tQf4dt56WSRqPvnAzcvGoJyii3ntU=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</cp:coreProperties>
</file>